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1E0" w:firstRow="1" w:lastRow="1" w:firstColumn="1" w:lastColumn="1" w:noHBand="0" w:noVBand="0"/>
      </w:tblPr>
      <w:tblGrid>
        <w:gridCol w:w="1440"/>
        <w:gridCol w:w="2880"/>
        <w:gridCol w:w="6480"/>
      </w:tblGrid>
      <w:tr w:rsidR="00265C4C" w:rsidRPr="002A6FC6" w:rsidTr="002A6FC6">
        <w:trPr>
          <w:trHeight w:val="1080"/>
        </w:trPr>
        <w:tc>
          <w:tcPr>
            <w:tcW w:w="1440" w:type="dxa"/>
            <w:shd w:val="clear" w:color="auto" w:fill="auto"/>
          </w:tcPr>
          <w:p w:rsidR="00265C4C" w:rsidRPr="002A6FC6" w:rsidRDefault="001D75D2" w:rsidP="002A6FC6">
            <w:pPr>
              <w:ind w:left="-108"/>
              <w:rPr>
                <w:rFonts w:ascii="Arial" w:hAnsi="Arial" w:cs="Arial"/>
                <w:color w:val="000000"/>
                <w:sz w:val="32"/>
                <w:szCs w:val="32"/>
              </w:rPr>
            </w:pPr>
            <w:r>
              <w:rPr>
                <w:rFonts w:ascii="Arial" w:hAnsi="Arial" w:cs="Arial"/>
                <w:noProof/>
                <w:color w:val="000000"/>
                <w:sz w:val="32"/>
                <w:szCs w:val="32"/>
              </w:rPr>
              <w:drawing>
                <wp:inline distT="0" distB="0" distL="0" distR="0">
                  <wp:extent cx="919480" cy="923925"/>
                  <wp:effectExtent l="0" t="0" r="0" b="9525"/>
                  <wp:docPr id="1" name="Picture 1" descr="superio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perior-sea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9480" cy="923925"/>
                          </a:xfrm>
                          <a:prstGeom prst="rect">
                            <a:avLst/>
                          </a:prstGeom>
                          <a:noFill/>
                          <a:ln>
                            <a:noFill/>
                          </a:ln>
                        </pic:spPr>
                      </pic:pic>
                    </a:graphicData>
                  </a:graphic>
                </wp:inline>
              </w:drawing>
            </w:r>
          </w:p>
        </w:tc>
        <w:tc>
          <w:tcPr>
            <w:tcW w:w="9360" w:type="dxa"/>
            <w:gridSpan w:val="2"/>
            <w:shd w:val="clear" w:color="auto" w:fill="auto"/>
          </w:tcPr>
          <w:p w:rsidR="00265C4C" w:rsidRPr="002A6FC6" w:rsidRDefault="00265C4C" w:rsidP="002A6FC6">
            <w:pPr>
              <w:ind w:left="-108" w:right="1332"/>
              <w:jc w:val="center"/>
              <w:rPr>
                <w:rFonts w:ascii="Arial" w:hAnsi="Arial" w:cs="Arial"/>
                <w:b/>
                <w:color w:val="000000"/>
                <w:sz w:val="32"/>
                <w:szCs w:val="32"/>
              </w:rPr>
            </w:pPr>
            <w:r w:rsidRPr="002A6FC6">
              <w:rPr>
                <w:rFonts w:ascii="Arial" w:hAnsi="Arial" w:cs="Arial"/>
                <w:b/>
                <w:color w:val="000000"/>
                <w:sz w:val="32"/>
                <w:szCs w:val="32"/>
              </w:rPr>
              <w:t>The State of New Hampshire</w:t>
            </w:r>
          </w:p>
          <w:p w:rsidR="00265C4C" w:rsidRPr="002A6FC6" w:rsidRDefault="00265C4C" w:rsidP="002A6FC6">
            <w:pPr>
              <w:ind w:left="-108" w:right="1332"/>
              <w:jc w:val="center"/>
              <w:rPr>
                <w:rFonts w:ascii="Arial" w:hAnsi="Arial" w:cs="Arial"/>
                <w:b/>
                <w:color w:val="000000"/>
                <w:sz w:val="32"/>
                <w:szCs w:val="32"/>
              </w:rPr>
            </w:pPr>
            <w:r w:rsidRPr="002A6FC6">
              <w:rPr>
                <w:rFonts w:ascii="Arial" w:hAnsi="Arial" w:cs="Arial"/>
                <w:b/>
                <w:color w:val="000000"/>
                <w:sz w:val="32"/>
                <w:szCs w:val="32"/>
              </w:rPr>
              <w:t>Superior Court</w:t>
            </w:r>
          </w:p>
          <w:p w:rsidR="00265C4C" w:rsidRPr="002A6FC6" w:rsidRDefault="00265C4C" w:rsidP="002A6FC6">
            <w:pPr>
              <w:jc w:val="center"/>
              <w:rPr>
                <w:rFonts w:ascii="Arial" w:hAnsi="Arial" w:cs="Arial"/>
                <w:b/>
                <w:color w:val="000000"/>
                <w:sz w:val="32"/>
                <w:szCs w:val="32"/>
              </w:rPr>
            </w:pPr>
          </w:p>
        </w:tc>
      </w:tr>
      <w:tr w:rsidR="00265C4C" w:rsidRPr="002A6FC6" w:rsidTr="002A6FC6">
        <w:tc>
          <w:tcPr>
            <w:tcW w:w="4320" w:type="dxa"/>
            <w:gridSpan w:val="2"/>
            <w:shd w:val="clear" w:color="auto" w:fill="auto"/>
          </w:tcPr>
          <w:p w:rsidR="00265C4C" w:rsidRPr="002A6FC6" w:rsidRDefault="00265C4C" w:rsidP="00265C4C">
            <w:pPr>
              <w:rPr>
                <w:rFonts w:ascii="Arial" w:hAnsi="Arial" w:cs="Arial"/>
                <w:b/>
                <w:color w:val="000000"/>
              </w:rPr>
            </w:pPr>
          </w:p>
        </w:tc>
        <w:tc>
          <w:tcPr>
            <w:tcW w:w="6480" w:type="dxa"/>
            <w:shd w:val="clear" w:color="auto" w:fill="auto"/>
          </w:tcPr>
          <w:p w:rsidR="00265C4C" w:rsidRPr="002A6FC6" w:rsidRDefault="0058679F" w:rsidP="002A6FC6">
            <w:pPr>
              <w:jc w:val="right"/>
              <w:rPr>
                <w:rFonts w:ascii="Arial" w:hAnsi="Arial" w:cs="Arial"/>
                <w:b/>
                <w:color w:val="000000"/>
                <w:sz w:val="20"/>
                <w:szCs w:val="20"/>
              </w:rPr>
            </w:pPr>
            <w:r>
              <w:rPr>
                <w:rFonts w:ascii="Arial" w:hAnsi="Arial" w:cs="Arial"/>
                <w:b/>
                <w:color w:val="000000"/>
                <w:sz w:val="20"/>
                <w:szCs w:val="20"/>
              </w:rPr>
              <w:t>NH Judicial Branch Administrative Offices</w:t>
            </w:r>
          </w:p>
          <w:p w:rsidR="00265C4C" w:rsidRPr="002A6FC6" w:rsidRDefault="0058679F" w:rsidP="002A6FC6">
            <w:pPr>
              <w:jc w:val="right"/>
              <w:rPr>
                <w:rFonts w:ascii="Arial" w:hAnsi="Arial" w:cs="Arial"/>
                <w:b/>
                <w:color w:val="000000"/>
                <w:sz w:val="20"/>
                <w:szCs w:val="20"/>
              </w:rPr>
            </w:pPr>
            <w:r>
              <w:rPr>
                <w:rFonts w:ascii="Arial" w:hAnsi="Arial" w:cs="Arial"/>
                <w:b/>
                <w:color w:val="000000"/>
                <w:sz w:val="20"/>
                <w:szCs w:val="20"/>
              </w:rPr>
              <w:t>Superior Court Center</w:t>
            </w:r>
          </w:p>
          <w:p w:rsidR="00265C4C" w:rsidRDefault="0058679F" w:rsidP="002A6FC6">
            <w:pPr>
              <w:jc w:val="right"/>
              <w:rPr>
                <w:rFonts w:ascii="Arial" w:hAnsi="Arial" w:cs="Arial"/>
                <w:b/>
                <w:color w:val="000000"/>
                <w:sz w:val="20"/>
                <w:szCs w:val="20"/>
              </w:rPr>
            </w:pPr>
            <w:r>
              <w:rPr>
                <w:rFonts w:ascii="Arial" w:hAnsi="Arial" w:cs="Arial"/>
                <w:b/>
                <w:color w:val="000000"/>
                <w:sz w:val="20"/>
                <w:szCs w:val="20"/>
              </w:rPr>
              <w:t>Suite N400, 1 Granite Place</w:t>
            </w:r>
          </w:p>
          <w:p w:rsidR="0058679F" w:rsidRPr="002A6FC6" w:rsidRDefault="0058679F" w:rsidP="002A6FC6">
            <w:pPr>
              <w:jc w:val="right"/>
              <w:rPr>
                <w:rFonts w:ascii="Arial" w:hAnsi="Arial" w:cs="Arial"/>
                <w:b/>
                <w:color w:val="000000"/>
                <w:sz w:val="20"/>
                <w:szCs w:val="20"/>
              </w:rPr>
            </w:pPr>
            <w:r>
              <w:rPr>
                <w:rFonts w:ascii="Arial" w:hAnsi="Arial" w:cs="Arial"/>
                <w:b/>
                <w:color w:val="000000"/>
                <w:sz w:val="20"/>
                <w:szCs w:val="20"/>
              </w:rPr>
              <w:t>Concord, NH 03301</w:t>
            </w:r>
          </w:p>
          <w:p w:rsidR="00265C4C" w:rsidRPr="002A6FC6" w:rsidRDefault="00265C4C" w:rsidP="002A6FC6">
            <w:pPr>
              <w:jc w:val="right"/>
              <w:rPr>
                <w:rFonts w:ascii="Arial" w:hAnsi="Arial" w:cs="Arial"/>
                <w:b/>
                <w:color w:val="000000"/>
              </w:rPr>
            </w:pPr>
            <w:r w:rsidRPr="002A6FC6">
              <w:rPr>
                <w:rFonts w:ascii="Arial" w:hAnsi="Arial" w:cs="Arial"/>
                <w:b/>
                <w:color w:val="000000"/>
                <w:sz w:val="20"/>
                <w:szCs w:val="20"/>
              </w:rPr>
              <w:t>Tel. (603) 271-2030</w:t>
            </w:r>
          </w:p>
        </w:tc>
      </w:tr>
    </w:tbl>
    <w:p w:rsidR="000D16D5" w:rsidRPr="000D16D5" w:rsidRDefault="000D16D5" w:rsidP="000D16D5">
      <w:pPr>
        <w:shd w:val="clear" w:color="auto" w:fill="FFFFFF"/>
        <w:spacing w:before="100" w:beforeAutospacing="1" w:after="100" w:afterAutospacing="1" w:line="360" w:lineRule="atLeast"/>
        <w:rPr>
          <w:color w:val="333333"/>
          <w:lang w:val="en"/>
        </w:rPr>
      </w:pPr>
      <w:r w:rsidRPr="000D16D5">
        <w:rPr>
          <w:color w:val="333333"/>
          <w:lang w:val="en"/>
        </w:rPr>
        <w:t>The Superior Court is a statewide court of general jurisdiction and provides jury trials in</w:t>
      </w:r>
      <w:r w:rsidRPr="00EC3BA1">
        <w:rPr>
          <w:color w:val="333333"/>
          <w:lang w:val="en"/>
        </w:rPr>
        <w:t xml:space="preserve"> civil and criminal c</w:t>
      </w:r>
      <w:r w:rsidRPr="000D16D5">
        <w:rPr>
          <w:color w:val="333333"/>
          <w:lang w:val="en"/>
        </w:rPr>
        <w:t>ases. There are 11 Superior Court sites in New Hampshire, one for each county and two in Hillsborough County.</w:t>
      </w:r>
    </w:p>
    <w:p w:rsidR="000D16D5" w:rsidRPr="000D16D5" w:rsidRDefault="000D16D5" w:rsidP="000D16D5">
      <w:pPr>
        <w:shd w:val="clear" w:color="auto" w:fill="FFFFFF"/>
        <w:spacing w:before="100" w:beforeAutospacing="1" w:after="100" w:afterAutospacing="1" w:line="360" w:lineRule="atLeast"/>
        <w:rPr>
          <w:color w:val="333333"/>
          <w:lang w:val="en"/>
        </w:rPr>
      </w:pPr>
      <w:r w:rsidRPr="000D16D5">
        <w:rPr>
          <w:color w:val="333333"/>
          <w:lang w:val="en"/>
        </w:rPr>
        <w:t>The Superior Court was established by the legislature in April 1901 when two courts were organized to take the place of the Supreme Court as it then existed.</w:t>
      </w:r>
    </w:p>
    <w:p w:rsidR="000D16D5" w:rsidRPr="000D16D5" w:rsidRDefault="000D16D5" w:rsidP="000D16D5">
      <w:pPr>
        <w:shd w:val="clear" w:color="auto" w:fill="FFFFFF"/>
        <w:spacing w:before="100" w:beforeAutospacing="1" w:after="100" w:afterAutospacing="1" w:line="360" w:lineRule="atLeast"/>
        <w:rPr>
          <w:color w:val="333333"/>
          <w:lang w:val="en"/>
        </w:rPr>
      </w:pPr>
      <w:r w:rsidRPr="000D16D5">
        <w:rPr>
          <w:color w:val="333333"/>
          <w:lang w:val="en"/>
        </w:rPr>
        <w:t>With that change, the Supreme Court, comprised of a chief justice and four associate justices, was given jurisdiction over what until then had been called "law terms" during which questions of law brought on appeal were heard. The Superior Court was given jurisdiction over trials. The advantage to this system was that a trial court’s ruling would be heard by a separate court of appeals of which the trial court judge was not a member.</w:t>
      </w:r>
    </w:p>
    <w:p w:rsidR="000D16D5" w:rsidRPr="000D16D5" w:rsidRDefault="000D16D5" w:rsidP="000D16D5">
      <w:pPr>
        <w:shd w:val="clear" w:color="auto" w:fill="FFFFFF"/>
        <w:spacing w:before="100" w:beforeAutospacing="1" w:after="100" w:afterAutospacing="1" w:line="360" w:lineRule="atLeast"/>
        <w:rPr>
          <w:color w:val="333333"/>
          <w:lang w:val="en"/>
        </w:rPr>
      </w:pPr>
      <w:r w:rsidRPr="00EC3BA1">
        <w:rPr>
          <w:color w:val="333333"/>
          <w:lang w:val="en"/>
        </w:rPr>
        <w:t>There are now 21</w:t>
      </w:r>
      <w:r w:rsidRPr="000D16D5">
        <w:rPr>
          <w:color w:val="333333"/>
          <w:lang w:val="en"/>
        </w:rPr>
        <w:t xml:space="preserve"> full</w:t>
      </w:r>
      <w:r w:rsidR="00A1660C">
        <w:rPr>
          <w:color w:val="333333"/>
          <w:lang w:val="en"/>
        </w:rPr>
        <w:t>-</w:t>
      </w:r>
      <w:r w:rsidRPr="000D16D5">
        <w:rPr>
          <w:color w:val="333333"/>
          <w:lang w:val="en"/>
        </w:rPr>
        <w:t>time judges serving on the Superior Court throughout the state. Under the State constitution, the Governor, with approval of a majority of the Executive Council appoints judges who hold office until they attain the age of 70.</w:t>
      </w:r>
    </w:p>
    <w:p w:rsidR="000D16D5" w:rsidRPr="000D16D5" w:rsidRDefault="000D16D5" w:rsidP="000D16D5">
      <w:pPr>
        <w:shd w:val="clear" w:color="auto" w:fill="FFFFFF"/>
        <w:spacing w:before="100" w:beforeAutospacing="1" w:after="100" w:afterAutospacing="1" w:line="360" w:lineRule="atLeast"/>
        <w:rPr>
          <w:color w:val="333333"/>
          <w:lang w:val="en"/>
        </w:rPr>
      </w:pPr>
      <w:r w:rsidRPr="000D16D5">
        <w:rPr>
          <w:color w:val="333333"/>
          <w:lang w:val="en"/>
        </w:rPr>
        <w:t xml:space="preserve">The Superior Court hears the following types of cases: </w:t>
      </w:r>
    </w:p>
    <w:p w:rsidR="000D16D5" w:rsidRPr="000D16D5" w:rsidRDefault="000D16D5" w:rsidP="000D16D5">
      <w:pPr>
        <w:numPr>
          <w:ilvl w:val="0"/>
          <w:numId w:val="1"/>
        </w:numPr>
        <w:shd w:val="clear" w:color="auto" w:fill="FFFFFF"/>
        <w:spacing w:before="100" w:beforeAutospacing="1" w:after="100" w:afterAutospacing="1" w:line="360" w:lineRule="atLeast"/>
        <w:rPr>
          <w:color w:val="333333"/>
          <w:lang w:val="en"/>
        </w:rPr>
      </w:pPr>
      <w:r w:rsidRPr="000D16D5">
        <w:rPr>
          <w:color w:val="333333"/>
          <w:lang w:val="en"/>
        </w:rPr>
        <w:t>Negligence, contracts, real property rights and other civil matters with a minimum claim of $1,500 in damages in which either party requests a trial by jury. The Superior Court has exclusive jurisdiction over cases in which the damage claims exceed $25,000.</w:t>
      </w:r>
    </w:p>
    <w:p w:rsidR="000D16D5" w:rsidRPr="000D16D5" w:rsidRDefault="000D16D5" w:rsidP="000D16D5">
      <w:pPr>
        <w:numPr>
          <w:ilvl w:val="0"/>
          <w:numId w:val="1"/>
        </w:numPr>
        <w:shd w:val="clear" w:color="auto" w:fill="FFFFFF"/>
        <w:spacing w:before="100" w:beforeAutospacing="1" w:after="100" w:afterAutospacing="1" w:line="360" w:lineRule="atLeast"/>
        <w:rPr>
          <w:color w:val="333333"/>
          <w:lang w:val="en"/>
        </w:rPr>
      </w:pPr>
      <w:r w:rsidRPr="00EC3BA1">
        <w:rPr>
          <w:color w:val="333333"/>
          <w:lang w:val="en"/>
        </w:rPr>
        <w:t>Felonies</w:t>
      </w:r>
      <w:r w:rsidRPr="000D16D5">
        <w:rPr>
          <w:color w:val="333333"/>
          <w:lang w:val="en"/>
        </w:rPr>
        <w:t xml:space="preserve"> (major crimes such as drugs, burglary, theft and aggravated felonious sexual assault).</w:t>
      </w:r>
    </w:p>
    <w:p w:rsidR="000D16D5" w:rsidRPr="000D16D5" w:rsidRDefault="000D16D5" w:rsidP="000D16D5">
      <w:pPr>
        <w:numPr>
          <w:ilvl w:val="0"/>
          <w:numId w:val="1"/>
        </w:numPr>
        <w:shd w:val="clear" w:color="auto" w:fill="FFFFFF"/>
        <w:spacing w:before="100" w:beforeAutospacing="1" w:after="100" w:afterAutospacing="1" w:line="360" w:lineRule="atLeast"/>
        <w:rPr>
          <w:color w:val="333333"/>
          <w:lang w:val="en"/>
        </w:rPr>
      </w:pPr>
      <w:r w:rsidRPr="000D16D5">
        <w:rPr>
          <w:color w:val="333333"/>
          <w:lang w:val="en"/>
        </w:rPr>
        <w:t>Misdemeanor appeals from the Circuit Court District Division.</w:t>
      </w:r>
    </w:p>
    <w:p w:rsidR="000D16D5" w:rsidRPr="000D16D5" w:rsidRDefault="000D16D5" w:rsidP="000D16D5">
      <w:pPr>
        <w:shd w:val="clear" w:color="auto" w:fill="FFFFFF"/>
        <w:spacing w:before="100" w:beforeAutospacing="1" w:after="100" w:afterAutospacing="1" w:line="360" w:lineRule="atLeast"/>
        <w:rPr>
          <w:color w:val="333333"/>
          <w:lang w:val="en"/>
        </w:rPr>
      </w:pPr>
      <w:r w:rsidRPr="000D16D5">
        <w:rPr>
          <w:color w:val="333333"/>
          <w:lang w:val="en"/>
        </w:rPr>
        <w:t>The Superior Court also has exclusive jurisdiction over petitions for injunctive relief, in which parties seek a court order to block action, appeals from zoning and planning board decisions, disputes over title to real estate and petitions to enforce contracts.</w:t>
      </w:r>
    </w:p>
    <w:p w:rsidR="00FB1FCF" w:rsidRPr="00EC3BA1" w:rsidRDefault="000D16D5" w:rsidP="00280CAA">
      <w:pPr>
        <w:rPr>
          <w:b/>
        </w:rPr>
      </w:pPr>
      <w:r w:rsidRPr="00EC3BA1">
        <w:rPr>
          <w:b/>
        </w:rPr>
        <w:t xml:space="preserve">To find the Superior Court in your county, visit </w:t>
      </w:r>
      <w:hyperlink r:id="rId7" w:anchor="superior" w:history="1">
        <w:r w:rsidRPr="00EC3BA1">
          <w:rPr>
            <w:rStyle w:val="Hyperlink"/>
            <w:b/>
          </w:rPr>
          <w:t>https://www.courts.state.nh.us/courtlocations/index.htm#superior</w:t>
        </w:r>
      </w:hyperlink>
    </w:p>
    <w:p w:rsidR="000D16D5" w:rsidRPr="00EC3BA1" w:rsidRDefault="000D16D5" w:rsidP="00280CAA">
      <w:pPr>
        <w:rPr>
          <w:b/>
        </w:rPr>
      </w:pPr>
    </w:p>
    <w:p w:rsidR="000D16D5" w:rsidRPr="00EC3BA1" w:rsidRDefault="000D16D5" w:rsidP="000D16D5">
      <w:pPr>
        <w:rPr>
          <w:b/>
        </w:rPr>
      </w:pPr>
      <w:r w:rsidRPr="00EC3BA1">
        <w:rPr>
          <w:b/>
        </w:rPr>
        <w:t>To arrange a visit for your class</w:t>
      </w:r>
      <w:r w:rsidR="004A4053">
        <w:rPr>
          <w:b/>
        </w:rPr>
        <w:t>,</w:t>
      </w:r>
      <w:bookmarkStart w:id="0" w:name="_GoBack"/>
      <w:bookmarkEnd w:id="0"/>
      <w:r w:rsidRPr="00EC3BA1">
        <w:rPr>
          <w:b/>
        </w:rPr>
        <w:t xml:space="preserve"> contact Tracey Sinclair, Education &amp; Training Coordinator</w:t>
      </w:r>
      <w:r w:rsidR="004A4053">
        <w:rPr>
          <w:b/>
        </w:rPr>
        <w:t>,</w:t>
      </w:r>
    </w:p>
    <w:p w:rsidR="000D16D5" w:rsidRPr="00EC3BA1" w:rsidRDefault="000D16D5" w:rsidP="000D16D5">
      <w:pPr>
        <w:rPr>
          <w:b/>
          <w:color w:val="1F497D"/>
        </w:rPr>
      </w:pPr>
      <w:r w:rsidRPr="00EC3BA1">
        <w:rPr>
          <w:b/>
        </w:rPr>
        <w:t>NH Judicial Branch Administrative Offices</w:t>
      </w:r>
      <w:r w:rsidR="00EC3BA1" w:rsidRPr="00EC3BA1">
        <w:rPr>
          <w:b/>
        </w:rPr>
        <w:t xml:space="preserve"> </w:t>
      </w:r>
      <w:r w:rsidRPr="00EC3BA1">
        <w:rPr>
          <w:b/>
        </w:rPr>
        <w:t>at 271-9912 Ext. 0312</w:t>
      </w:r>
    </w:p>
    <w:p w:rsidR="000D16D5" w:rsidRPr="00EC3BA1" w:rsidRDefault="000D16D5" w:rsidP="00280CAA"/>
    <w:sectPr w:rsidR="000D16D5" w:rsidRPr="00EC3BA1" w:rsidSect="008F6AB9">
      <w:pgSz w:w="12240" w:h="15840" w:code="1"/>
      <w:pgMar w:top="720" w:right="720" w:bottom="720" w:left="720" w:header="720" w:footer="720" w:gutter="0"/>
      <w:paperSrc w:first="26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AB62B4"/>
    <w:multiLevelType w:val="multilevel"/>
    <w:tmpl w:val="C5A27A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878"/>
    <w:rsid w:val="00030960"/>
    <w:rsid w:val="000747F9"/>
    <w:rsid w:val="000863E2"/>
    <w:rsid w:val="000A6111"/>
    <w:rsid w:val="000B092D"/>
    <w:rsid w:val="000B52E2"/>
    <w:rsid w:val="000C0ACE"/>
    <w:rsid w:val="000D1388"/>
    <w:rsid w:val="000D16D5"/>
    <w:rsid w:val="000F11FF"/>
    <w:rsid w:val="00133DBE"/>
    <w:rsid w:val="00140637"/>
    <w:rsid w:val="001546ED"/>
    <w:rsid w:val="001B646C"/>
    <w:rsid w:val="001D75D2"/>
    <w:rsid w:val="001E59AC"/>
    <w:rsid w:val="00232613"/>
    <w:rsid w:val="00232C99"/>
    <w:rsid w:val="00265C4C"/>
    <w:rsid w:val="00270117"/>
    <w:rsid w:val="0027754D"/>
    <w:rsid w:val="00280CAA"/>
    <w:rsid w:val="00282635"/>
    <w:rsid w:val="00282BC5"/>
    <w:rsid w:val="00287AA0"/>
    <w:rsid w:val="002A6FC6"/>
    <w:rsid w:val="002F40B4"/>
    <w:rsid w:val="00315900"/>
    <w:rsid w:val="003270BF"/>
    <w:rsid w:val="00337258"/>
    <w:rsid w:val="003937A8"/>
    <w:rsid w:val="003A0978"/>
    <w:rsid w:val="003C7BE1"/>
    <w:rsid w:val="004161C5"/>
    <w:rsid w:val="004374BD"/>
    <w:rsid w:val="00442B23"/>
    <w:rsid w:val="00461655"/>
    <w:rsid w:val="00492DCF"/>
    <w:rsid w:val="004936D7"/>
    <w:rsid w:val="004A4053"/>
    <w:rsid w:val="004A4A72"/>
    <w:rsid w:val="004A4AC7"/>
    <w:rsid w:val="004B12FB"/>
    <w:rsid w:val="004F5E4D"/>
    <w:rsid w:val="0051432C"/>
    <w:rsid w:val="005154F2"/>
    <w:rsid w:val="0052198A"/>
    <w:rsid w:val="005224F7"/>
    <w:rsid w:val="00541BB5"/>
    <w:rsid w:val="005742E6"/>
    <w:rsid w:val="0058679F"/>
    <w:rsid w:val="005877F4"/>
    <w:rsid w:val="005A3A0B"/>
    <w:rsid w:val="005B3695"/>
    <w:rsid w:val="005C0902"/>
    <w:rsid w:val="00611664"/>
    <w:rsid w:val="00627617"/>
    <w:rsid w:val="00643FAC"/>
    <w:rsid w:val="006F774C"/>
    <w:rsid w:val="0070117F"/>
    <w:rsid w:val="00775233"/>
    <w:rsid w:val="0078394C"/>
    <w:rsid w:val="0078635D"/>
    <w:rsid w:val="007D1C60"/>
    <w:rsid w:val="007D45D0"/>
    <w:rsid w:val="007F0C10"/>
    <w:rsid w:val="0087475F"/>
    <w:rsid w:val="008B4EDD"/>
    <w:rsid w:val="008C595D"/>
    <w:rsid w:val="008E4ED2"/>
    <w:rsid w:val="008F66F7"/>
    <w:rsid w:val="008F6AB9"/>
    <w:rsid w:val="008F6BB2"/>
    <w:rsid w:val="0093642A"/>
    <w:rsid w:val="00A0180B"/>
    <w:rsid w:val="00A1660C"/>
    <w:rsid w:val="00A37379"/>
    <w:rsid w:val="00A56BE2"/>
    <w:rsid w:val="00A6157D"/>
    <w:rsid w:val="00A716CE"/>
    <w:rsid w:val="00A82836"/>
    <w:rsid w:val="00A9359D"/>
    <w:rsid w:val="00AC7036"/>
    <w:rsid w:val="00AD0E8D"/>
    <w:rsid w:val="00AF6279"/>
    <w:rsid w:val="00AF75DE"/>
    <w:rsid w:val="00B53187"/>
    <w:rsid w:val="00B777FF"/>
    <w:rsid w:val="00C164E6"/>
    <w:rsid w:val="00C370BB"/>
    <w:rsid w:val="00C657D7"/>
    <w:rsid w:val="00C70878"/>
    <w:rsid w:val="00C853DB"/>
    <w:rsid w:val="00C87B03"/>
    <w:rsid w:val="00CA13AE"/>
    <w:rsid w:val="00CA17F6"/>
    <w:rsid w:val="00CC7AED"/>
    <w:rsid w:val="00CF5CDC"/>
    <w:rsid w:val="00D224B3"/>
    <w:rsid w:val="00D320CB"/>
    <w:rsid w:val="00D46B75"/>
    <w:rsid w:val="00D55250"/>
    <w:rsid w:val="00DD6B6D"/>
    <w:rsid w:val="00DD7872"/>
    <w:rsid w:val="00E06429"/>
    <w:rsid w:val="00E268C0"/>
    <w:rsid w:val="00E40F88"/>
    <w:rsid w:val="00E43D50"/>
    <w:rsid w:val="00EA2D2E"/>
    <w:rsid w:val="00EC3BA1"/>
    <w:rsid w:val="00F23AE6"/>
    <w:rsid w:val="00F54951"/>
    <w:rsid w:val="00F903D2"/>
    <w:rsid w:val="00FB1FCF"/>
    <w:rsid w:val="00FD5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65C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B1FCF"/>
    <w:rPr>
      <w:color w:val="0000FF"/>
      <w:u w:val="single"/>
    </w:rPr>
  </w:style>
  <w:style w:type="paragraph" w:styleId="NormalWeb">
    <w:name w:val="Normal (Web)"/>
    <w:basedOn w:val="Normal"/>
    <w:uiPriority w:val="99"/>
    <w:unhideWhenUsed/>
    <w:rsid w:val="000D16D5"/>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65C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B1FCF"/>
    <w:rPr>
      <w:color w:val="0000FF"/>
      <w:u w:val="single"/>
    </w:rPr>
  </w:style>
  <w:style w:type="paragraph" w:styleId="NormalWeb">
    <w:name w:val="Normal (Web)"/>
    <w:basedOn w:val="Normal"/>
    <w:uiPriority w:val="99"/>
    <w:unhideWhenUsed/>
    <w:rsid w:val="000D16D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521421">
      <w:bodyDiv w:val="1"/>
      <w:marLeft w:val="0"/>
      <w:marRight w:val="0"/>
      <w:marTop w:val="0"/>
      <w:marBottom w:val="0"/>
      <w:divBdr>
        <w:top w:val="none" w:sz="0" w:space="0" w:color="auto"/>
        <w:left w:val="none" w:sz="0" w:space="0" w:color="auto"/>
        <w:bottom w:val="none" w:sz="0" w:space="0" w:color="auto"/>
        <w:right w:val="none" w:sz="0" w:space="0" w:color="auto"/>
      </w:divBdr>
      <w:divsChild>
        <w:div w:id="1325277590">
          <w:marLeft w:val="0"/>
          <w:marRight w:val="0"/>
          <w:marTop w:val="0"/>
          <w:marBottom w:val="0"/>
          <w:divBdr>
            <w:top w:val="none" w:sz="0" w:space="0" w:color="auto"/>
            <w:left w:val="none" w:sz="0" w:space="0" w:color="auto"/>
            <w:bottom w:val="none" w:sz="0" w:space="0" w:color="auto"/>
            <w:right w:val="none" w:sz="0" w:space="0" w:color="auto"/>
          </w:divBdr>
          <w:divsChild>
            <w:div w:id="37600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537660">
      <w:bodyDiv w:val="1"/>
      <w:marLeft w:val="0"/>
      <w:marRight w:val="0"/>
      <w:marTop w:val="0"/>
      <w:marBottom w:val="0"/>
      <w:divBdr>
        <w:top w:val="none" w:sz="0" w:space="0" w:color="auto"/>
        <w:left w:val="none" w:sz="0" w:space="0" w:color="auto"/>
        <w:bottom w:val="none" w:sz="0" w:space="0" w:color="auto"/>
        <w:right w:val="none" w:sz="0" w:space="0" w:color="auto"/>
      </w:divBdr>
    </w:div>
    <w:div w:id="1506244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courts.state.nh.us/courtlocations/index.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Word\ABM\ABM%20Administrative\MESSER%20SUPERIOR%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MESSER SUPERIOR LETTERHEAD.dotx</Template>
  <TotalTime>3</TotalTime>
  <Pages>1</Pages>
  <Words>349</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The State of New Hampshire</vt:lpstr>
    </vt:vector>
  </TitlesOfParts>
  <Company>New Hampshire Judicial Branch</Company>
  <LinksUpToDate>false</LinksUpToDate>
  <CharactersWithSpaces>2335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State of New Hampshire</dc:title>
  <dc:creator>LOCALUSER</dc:creator>
  <cp:lastModifiedBy>LOCALUSER</cp:lastModifiedBy>
  <cp:revision>4</cp:revision>
  <cp:lastPrinted>2010-05-18T12:02:00Z</cp:lastPrinted>
  <dcterms:created xsi:type="dcterms:W3CDTF">2018-10-04T14:05:00Z</dcterms:created>
  <dcterms:modified xsi:type="dcterms:W3CDTF">2018-10-04T14:15:00Z</dcterms:modified>
</cp:coreProperties>
</file>